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78.png" ContentType="image/png"/>
  <Override PartName="/word/media/rId76.png" ContentType="image/png"/>
  <Override PartName="/word/media/rId79.png" ContentType="image/png"/>
  <Override PartName="/word/media/rId80.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23</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All populations within the Upper Salmon River MPG have become depleted in recent decades. Declines in survival of juvenile Chinook Salmon have been associated with hydrosystem passage (</w:t>
      </w:r>
      <w:r>
        <w:t xml:space="preserve">Schaller et al. (2014)</w:t>
      </w:r>
      <w:r>
        <w:t xml:space="preserve">), ocean conditions and regional climate (</w:t>
      </w:r>
      <w:r>
        <w:t xml:space="preserve">Welch et al. (2021)</w:t>
      </w:r>
      <w:r>
        <w:t xml:space="preserve">;</w:t>
      </w:r>
      <w:r>
        <w:t xml:space="preserve"> </w:t>
      </w:r>
      <w:r>
        <w:t xml:space="preserve">Gosselin et al. (2021)</w:t>
      </w:r>
      <w:r>
        <w:t xml:space="preserve">), and freshwater habitat modification.</w:t>
      </w:r>
    </w:p>
    <w:p>
      <w:pPr>
        <w:pStyle w:val="BodyText"/>
      </w:pPr>
      <w:r>
        <w:t xml:space="preserve">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maechanisms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Walleye</w:t>
      </w:r>
      <w:r>
        <w:t xml:space="preserve"> </w:t>
      </w:r>
      <w:r>
        <w:rPr>
          <w:iCs/>
          <w:i/>
        </w:rPr>
        <w:t xml:space="preserve">Sander vitreus</w:t>
      </w:r>
      <w:r>
        <w:t xml:space="preserve">, Smallmouth Bass</w:t>
      </w:r>
      <w:r>
        <w:t xml:space="preserve"> </w:t>
      </w:r>
      <w:r>
        <w:rPr>
          <w:iCs/>
          <w:i/>
        </w:rPr>
        <w:t xml:space="preserve">Micropterus dolomieu</w:t>
      </w:r>
      <w:r>
        <w:t xml:space="preserve">, and Northern Pikeminnow</w:t>
      </w:r>
      <w:r>
        <w:t xml:space="preserve"> </w:t>
      </w:r>
      <w:r>
        <w:rPr>
          <w:iCs/>
          <w:i/>
        </w:rPr>
        <w:t xml:space="preserve">Ptychocheilus oregonensis</w:t>
      </w:r>
      <w:r>
        <w:t xml:space="preserve">. In the Lower Granite Reservoir on the Snake River, juvenile Chinook Salmon are common prey items of non-native Smallmouth Bass during some seasons</w:t>
      </w:r>
      <w:r>
        <w:t xml:space="preserve"> </w:t>
      </w:r>
      <w:r>
        <w:t xml:space="preserve">(Erhardt et al. 2018)</w:t>
      </w:r>
      <w:r>
        <w:t xml:space="preserve">. Walleye also prefer slow water habitats and are considered a potentially important source for Juvenile Chinook Salmon mortality</w:t>
      </w:r>
      <w:r>
        <w:t xml:space="preserve"> </w:t>
      </w:r>
      <w:r>
        <w:t xml:space="preserve">(Widener et al. 2021)</w:t>
      </w:r>
      <w:r>
        <w:t xml:space="preserve">, particularly as their abundance has significantly increased in Snake River dam facilities between 2008 and 2020.</w:t>
      </w:r>
    </w:p>
    <w:p>
      <w:pPr>
        <w:pStyle w:val="BodyText"/>
      </w:pPr>
      <w:r>
        <w:t xml:space="preserve">In addition to non-native species, Northern Pikeminnow are a native, piscivorous fish preferring slow water habitats. Consequently, they too have benefited from dams on the Columbia River and become abundance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 containing slow-velocities and other attributes that support piscivorous predators are not limited to dams and reservoirs. One such area is the Deadwater Slough in the Salmon River, which occupies a 25.3-acre reach of unnaturally slow and deep water (Figure</w:t>
      </w:r>
      <w:r>
        <w:t xml:space="preserve"> </w:t>
      </w:r>
      <w:r>
        <w:t xml:space="preserve">1</w:t>
      </w:r>
      <w:r>
        <w:t xml:space="preserve">). The Deadwater Slough contains little to no cover, increased depth, and fine substrate which favor piscivorous fish predators (e.g., Northern Pikeminnow, Smallmouth Bass)</w:t>
      </w:r>
      <w:r>
        <w:t xml:space="preserve"> </w:t>
      </w:r>
      <w:r>
        <w:t xml:space="preserve">(Watkins et al. 2015)</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2"/>
        </w:numPr>
        <w:pStyle w:val="Compact"/>
      </w:pPr>
      <w:r>
        <w:t xml:space="preserve">Capture methods used - We initially attempted electrofishing, snorkeling, netting, others?, but eventually settled on angling as best method for mark-recapture.</w:t>
      </w:r>
    </w:p>
    <w:p>
      <w:pPr>
        <w:numPr>
          <w:ilvl w:val="0"/>
          <w:numId w:val="1002"/>
        </w:numPr>
        <w:pStyle w:val="Compact"/>
      </w:pPr>
      <w:r>
        <w:t xml:space="preserve">Mark-recapture - We kept the mark and recapture events close together in an attempt to use a closed population model</w:t>
      </w:r>
    </w:p>
    <w:p>
      <w:pPr>
        <w:numPr>
          <w:ilvl w:val="0"/>
          <w:numId w:val="1002"/>
        </w:numPr>
        <w:pStyle w:val="Compact"/>
      </w:pPr>
      <w:r>
        <w:t xml:space="preserve">What are the assumptions of a closed population model?</w:t>
      </w:r>
    </w:p>
    <w:p>
      <w:pPr>
        <w:numPr>
          <w:ilvl w:val="0"/>
          <w:numId w:val="1002"/>
        </w:numPr>
        <w:pStyle w:val="Compact"/>
      </w:pPr>
      <w:r>
        <w:t xml:space="preserve">How was sampling performed? What relevant information was captured for each fish? How/where were fish released? How was effort recorded to calculate CPUE?</w:t>
      </w:r>
    </w:p>
    <w:p>
      <w:pPr>
        <w:numPr>
          <w:ilvl w:val="0"/>
          <w:numId w:val="1002"/>
        </w:numPr>
        <w:pStyle w:val="Compact"/>
      </w:pPr>
      <w:r>
        <w:t xml:space="preserve">Description of sampling time frame:</w:t>
      </w:r>
    </w:p>
    <w:p>
      <w:pPr>
        <w:numPr>
          <w:ilvl w:val="1"/>
          <w:numId w:val="1003"/>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3"/>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3"/>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30"/>
    <w:bookmarkStart w:id="31" w:name="impacts-to-adult-returns-1"/>
    <w:p>
      <w:pPr>
        <w:pStyle w:val="Heading2"/>
      </w:pPr>
      <w:r>
        <w:t xml:space="preserve">Impacts to Adult Returns</w:t>
      </w:r>
    </w:p>
    <w:p>
      <w:pPr>
        <w:numPr>
          <w:ilvl w:val="0"/>
          <w:numId w:val="1004"/>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5"/>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5"/>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72" w:name="literature-cited"/>
    <w:p>
      <w:pPr>
        <w:pStyle w:val="Heading1"/>
      </w:pPr>
      <w:r>
        <w:t xml:space="preserve">Literature Cited</w:t>
      </w:r>
    </w:p>
    <w:bookmarkStart w:id="71"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4"/>
    <w:bookmarkStart w:id="55"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5"/>
    <w:bookmarkStart w:id="56"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6"/>
    <w:bookmarkStart w:id="57"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7"/>
    <w:bookmarkStart w:id="58"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8"/>
    <w:bookmarkStart w:id="59"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9"/>
    <w:bookmarkStart w:id="60"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0"/>
    <w:bookmarkStart w:id="61"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1"/>
    <w:bookmarkStart w:id="62"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2"/>
    <w:bookmarkStart w:id="63"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3"/>
    <w:bookmarkStart w:id="64"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64"/>
    <w:bookmarkStart w:id="65"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5"/>
    <w:bookmarkStart w:id="66"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6"/>
    <w:bookmarkStart w:id="67"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7"/>
    <w:bookmarkStart w:id="68"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8"/>
    <w:bookmarkStart w:id="69"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69"/>
    <w:bookmarkStart w:id="70"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70"/>
    <w:bookmarkEnd w:id="71"/>
    <w:p>
      <w:r>
        <w:br w:type="page"/>
      </w:r>
    </w:p>
    <w:bookmarkEnd w:id="72"/>
    <w:bookmarkStart w:id="74" w:name="tables"/>
    <w:p>
      <w:pPr>
        <w:pStyle w:val="Heading1"/>
      </w:pPr>
      <w:r>
        <w:t xml:space="preserve">Tables</w:t>
      </w:r>
    </w:p>
    <w:bookmarkStart w:id="73" w:name="tables"/>
    <w:bookmarkEnd w:id="73"/>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1131"/>
        <w:gridCol w:w="1131"/>
        <w:gridCol w:w="1131"/>
        <w:gridCol w:w="1131"/>
        <w:gridCol w:w="1131"/>
        <w:gridCol w:w="1131"/>
        <w:gridCol w:w="1131"/>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4"/>
    <w:bookmarkStart w:id="83" w:name="figures"/>
    <w:p>
      <w:pPr>
        <w:pStyle w:val="Heading1"/>
      </w:pPr>
      <w:r>
        <w:t xml:space="preserve">Figures</w:t>
      </w:r>
    </w:p>
    <w:bookmarkStart w:id="75" w:name="figures"/>
    <w:bookmarkEnd w:id="75"/>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6"/>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bookmarkStart w:id="82" w:name="colophon"/>
    <w:p>
      <w:pPr>
        <w:pStyle w:val="Heading3"/>
      </w:pPr>
      <w:r>
        <w:t xml:space="preserve">Colophon</w:t>
      </w:r>
    </w:p>
    <w:p>
      <w:pPr>
        <w:pStyle w:val="FirstParagraph"/>
      </w:pPr>
      <w:r>
        <w:t xml:space="preserve">This report was generated on 2021-11-23 11:16:35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[1eaa4cd] 2021-11-23: added Nick's remaining plots to ms</w:t>
      </w:r>
    </w:p>
    <w:bookmarkEnd w:id="82"/>
    <w:bookmarkEnd w:id="8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2021-11-23T18:16:37Z</dcterms:created>
  <dcterms:modified xsi:type="dcterms:W3CDTF">2021-11-23T18:16:37Z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